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C59" w:rsidRPr="00A84CCD" w:rsidRDefault="00551C59">
      <w:pPr>
        <w:pStyle w:val="ConsPlusNormal"/>
        <w:jc w:val="right"/>
        <w:outlineLvl w:val="0"/>
      </w:pPr>
      <w:bookmarkStart w:id="0" w:name="_GoBack"/>
      <w:bookmarkEnd w:id="0"/>
      <w:r w:rsidRPr="00A84CCD">
        <w:t>Приложение</w:t>
      </w:r>
    </w:p>
    <w:p w:rsidR="00551C59" w:rsidRPr="00A84CCD" w:rsidRDefault="00551C59">
      <w:pPr>
        <w:pStyle w:val="ConsPlusNormal"/>
        <w:jc w:val="right"/>
      </w:pPr>
      <w:r w:rsidRPr="00A84CCD">
        <w:t>к Решению</w:t>
      </w:r>
    </w:p>
    <w:p w:rsidR="00551C59" w:rsidRPr="00A84CCD" w:rsidRDefault="00551C59">
      <w:pPr>
        <w:pStyle w:val="ConsPlusNormal"/>
        <w:jc w:val="right"/>
      </w:pPr>
      <w:r w:rsidRPr="00A84CCD">
        <w:t>Представительного Собрания</w:t>
      </w:r>
    </w:p>
    <w:p w:rsidR="00551C59" w:rsidRPr="00A84CCD" w:rsidRDefault="00551C59">
      <w:pPr>
        <w:pStyle w:val="ConsPlusNormal"/>
        <w:jc w:val="right"/>
      </w:pPr>
      <w:r w:rsidRPr="00A84CCD">
        <w:t>Шекснинского муниципального района</w:t>
      </w:r>
    </w:p>
    <w:p w:rsidR="00551C59" w:rsidRPr="00A84CCD" w:rsidRDefault="00551C59">
      <w:pPr>
        <w:pStyle w:val="ConsPlusNormal"/>
        <w:jc w:val="right"/>
      </w:pPr>
      <w:r w:rsidRPr="00A84CCD">
        <w:t>от 29 мая 2019 г. N 56</w:t>
      </w:r>
    </w:p>
    <w:p w:rsidR="00551C59" w:rsidRPr="00A84CCD" w:rsidRDefault="00551C59">
      <w:pPr>
        <w:pStyle w:val="ConsPlusNormal"/>
      </w:pPr>
    </w:p>
    <w:p w:rsidR="00551C59" w:rsidRPr="00A84CCD" w:rsidRDefault="00551C59">
      <w:pPr>
        <w:pStyle w:val="ConsPlusNormal"/>
        <w:jc w:val="right"/>
      </w:pPr>
      <w:r w:rsidRPr="00A84CCD">
        <w:t>"Приложение N 3</w:t>
      </w:r>
    </w:p>
    <w:p w:rsidR="00551C59" w:rsidRPr="00A84CCD" w:rsidRDefault="00551C59">
      <w:pPr>
        <w:pStyle w:val="ConsPlusNormal"/>
        <w:jc w:val="right"/>
      </w:pPr>
      <w:r w:rsidRPr="00A84CCD">
        <w:t>к решению</w:t>
      </w:r>
    </w:p>
    <w:p w:rsidR="00551C59" w:rsidRPr="00A84CCD" w:rsidRDefault="00551C59">
      <w:pPr>
        <w:pStyle w:val="ConsPlusNormal"/>
        <w:jc w:val="right"/>
      </w:pPr>
      <w:r w:rsidRPr="00A84CCD">
        <w:t>Представительного Собрания</w:t>
      </w:r>
    </w:p>
    <w:p w:rsidR="00551C59" w:rsidRPr="00A84CCD" w:rsidRDefault="00551C59">
      <w:pPr>
        <w:pStyle w:val="ConsPlusNormal"/>
        <w:jc w:val="right"/>
      </w:pPr>
      <w:r w:rsidRPr="00A84CCD">
        <w:t>Шекснинского муниципального района</w:t>
      </w:r>
    </w:p>
    <w:p w:rsidR="00551C59" w:rsidRPr="00A84CCD" w:rsidRDefault="00551C59">
      <w:pPr>
        <w:pStyle w:val="ConsPlusNormal"/>
        <w:jc w:val="right"/>
      </w:pPr>
      <w:r w:rsidRPr="00A84CCD">
        <w:t>от 24 октября 2012 г. N 135</w:t>
      </w:r>
    </w:p>
    <w:p w:rsidR="00551C59" w:rsidRPr="00A84CCD" w:rsidRDefault="00551C59">
      <w:pPr>
        <w:pStyle w:val="ConsPlusNormal"/>
      </w:pPr>
    </w:p>
    <w:p w:rsidR="00551C59" w:rsidRPr="00A84CCD" w:rsidRDefault="00551C59">
      <w:pPr>
        <w:pStyle w:val="ConsPlusTitle"/>
        <w:jc w:val="center"/>
      </w:pPr>
      <w:bookmarkStart w:id="1" w:name="P36"/>
      <w:bookmarkEnd w:id="1"/>
      <w:r w:rsidRPr="00A84CCD">
        <w:t>ЗНАЧЕНИЕ</w:t>
      </w:r>
    </w:p>
    <w:p w:rsidR="00551C59" w:rsidRPr="00A84CCD" w:rsidRDefault="00551C59">
      <w:pPr>
        <w:pStyle w:val="ConsPlusTitle"/>
        <w:jc w:val="center"/>
      </w:pPr>
      <w:r w:rsidRPr="00A84CCD">
        <w:t>КОЭФФИЦИЕНТА К</w:t>
      </w:r>
      <w:proofErr w:type="gramStart"/>
      <w:r w:rsidRPr="00A84CCD">
        <w:t>2</w:t>
      </w:r>
      <w:proofErr w:type="gramEnd"/>
      <w:r w:rsidRPr="00A84CCD">
        <w:t>, ИСПОЛЬЗУЕМОЕ ДЛЯ РАСЧЕТА СУММЫ</w:t>
      </w:r>
    </w:p>
    <w:p w:rsidR="00551C59" w:rsidRPr="00A84CCD" w:rsidRDefault="00551C59">
      <w:pPr>
        <w:pStyle w:val="ConsPlusTitle"/>
        <w:jc w:val="center"/>
      </w:pPr>
      <w:r w:rsidRPr="00A84CCD">
        <w:t xml:space="preserve">ЕДИНОГО НАЛОГА НА ВМЕНЕННЫЙ ДОХОД ДЛЯ </w:t>
      </w:r>
      <w:proofErr w:type="gramStart"/>
      <w:r w:rsidRPr="00A84CCD">
        <w:t>ОТДЕЛЬНЫХ</w:t>
      </w:r>
      <w:proofErr w:type="gramEnd"/>
    </w:p>
    <w:p w:rsidR="00551C59" w:rsidRPr="00A84CCD" w:rsidRDefault="00551C59">
      <w:pPr>
        <w:pStyle w:val="ConsPlusTitle"/>
        <w:jc w:val="center"/>
      </w:pPr>
      <w:proofErr w:type="gramStart"/>
      <w:r w:rsidRPr="00A84CCD">
        <w:t>ВИДОВ ДЕЯТЕЛЬНОСТИ (РОЗНИЧНАЯ ТОРГОВЛЯ,</w:t>
      </w:r>
      <w:proofErr w:type="gramEnd"/>
    </w:p>
    <w:p w:rsidR="00551C59" w:rsidRPr="00A84CCD" w:rsidRDefault="00551C59">
      <w:pPr>
        <w:pStyle w:val="ConsPlusTitle"/>
        <w:jc w:val="center"/>
      </w:pPr>
      <w:proofErr w:type="gramStart"/>
      <w:r w:rsidRPr="00A84CCD">
        <w:t>ДЛЯ ОРГАНИЗАЦИЙ ПОТРЕБИТЕЛЬСКОЙ КООПЕРАЦИИ)</w:t>
      </w:r>
      <w:proofErr w:type="gramEnd"/>
    </w:p>
    <w:p w:rsidR="00551C59" w:rsidRPr="00A84CCD" w:rsidRDefault="00551C59">
      <w:pPr>
        <w:pStyle w:val="ConsPlusNormal"/>
      </w:pPr>
    </w:p>
    <w:p w:rsidR="00551C59" w:rsidRPr="00A84CCD" w:rsidRDefault="00551C59">
      <w:pPr>
        <w:sectPr w:rsidR="00551C59" w:rsidRPr="00A84CCD" w:rsidSect="006541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2031"/>
        <w:gridCol w:w="1469"/>
        <w:gridCol w:w="1526"/>
        <w:gridCol w:w="1356"/>
        <w:gridCol w:w="1650"/>
      </w:tblGrid>
      <w:tr w:rsidR="00A84CCD" w:rsidRPr="00A84CCD">
        <w:tc>
          <w:tcPr>
            <w:tcW w:w="5940" w:type="dxa"/>
            <w:vMerge w:val="restart"/>
          </w:tcPr>
          <w:p w:rsidR="00551C59" w:rsidRPr="00A84CCD" w:rsidRDefault="00551C59">
            <w:pPr>
              <w:pStyle w:val="ConsPlusNormal"/>
              <w:jc w:val="center"/>
            </w:pPr>
            <w:r w:rsidRPr="00A84CCD">
              <w:lastRenderedPageBreak/>
              <w:t>Вид предпринимательской деятельности</w:t>
            </w:r>
          </w:p>
        </w:tc>
        <w:tc>
          <w:tcPr>
            <w:tcW w:w="8032" w:type="dxa"/>
            <w:gridSpan w:val="5"/>
          </w:tcPr>
          <w:p w:rsidR="00551C59" w:rsidRPr="00A84CCD" w:rsidRDefault="00551C59">
            <w:pPr>
              <w:pStyle w:val="ConsPlusNormal"/>
              <w:jc w:val="center"/>
            </w:pPr>
            <w:r w:rsidRPr="00A84CCD">
              <w:t>Значение коэффициента К</w:t>
            </w:r>
            <w:proofErr w:type="gramStart"/>
            <w:r w:rsidRPr="00A84CCD">
              <w:t>2</w:t>
            </w:r>
            <w:proofErr w:type="gramEnd"/>
          </w:p>
        </w:tc>
      </w:tr>
      <w:tr w:rsidR="00A84CCD" w:rsidRPr="00A84CCD">
        <w:tc>
          <w:tcPr>
            <w:tcW w:w="5940" w:type="dxa"/>
            <w:vMerge/>
          </w:tcPr>
          <w:p w:rsidR="00551C59" w:rsidRPr="00A84CCD" w:rsidRDefault="00551C59"/>
        </w:tc>
        <w:tc>
          <w:tcPr>
            <w:tcW w:w="6382" w:type="dxa"/>
            <w:gridSpan w:val="4"/>
          </w:tcPr>
          <w:p w:rsidR="00551C59" w:rsidRPr="00A84CCD" w:rsidRDefault="00551C59">
            <w:pPr>
              <w:pStyle w:val="ConsPlusNormal"/>
              <w:jc w:val="center"/>
            </w:pPr>
            <w:r w:rsidRPr="00A84CCD">
              <w:t>в населенных пунктах с численностью</w:t>
            </w:r>
          </w:p>
        </w:tc>
        <w:tc>
          <w:tcPr>
            <w:tcW w:w="1650" w:type="dxa"/>
            <w:vMerge w:val="restart"/>
          </w:tcPr>
          <w:p w:rsidR="00551C59" w:rsidRPr="00A84CCD" w:rsidRDefault="00551C59">
            <w:pPr>
              <w:pStyle w:val="ConsPlusNormal"/>
            </w:pPr>
            <w:r w:rsidRPr="00A84CCD">
              <w:t>в районном центре &lt;*&gt;</w:t>
            </w:r>
          </w:p>
        </w:tc>
      </w:tr>
      <w:tr w:rsidR="00A84CCD" w:rsidRPr="00A84CCD">
        <w:tc>
          <w:tcPr>
            <w:tcW w:w="5940" w:type="dxa"/>
            <w:vMerge/>
          </w:tcPr>
          <w:p w:rsidR="00551C59" w:rsidRPr="00A84CCD" w:rsidRDefault="00551C59"/>
        </w:tc>
        <w:tc>
          <w:tcPr>
            <w:tcW w:w="2031" w:type="dxa"/>
          </w:tcPr>
          <w:p w:rsidR="00551C59" w:rsidRPr="00A84CCD" w:rsidRDefault="00551C59">
            <w:pPr>
              <w:pStyle w:val="ConsPlusNormal"/>
              <w:jc w:val="center"/>
            </w:pPr>
            <w:r w:rsidRPr="00A84CCD">
              <w:t>до 100 чел. &lt;*&gt;</w:t>
            </w:r>
          </w:p>
        </w:tc>
        <w:tc>
          <w:tcPr>
            <w:tcW w:w="1469" w:type="dxa"/>
          </w:tcPr>
          <w:p w:rsidR="00551C59" w:rsidRPr="00A84CCD" w:rsidRDefault="00551C59">
            <w:pPr>
              <w:pStyle w:val="ConsPlusNormal"/>
            </w:pPr>
            <w:r w:rsidRPr="00A84CCD">
              <w:t>от 101 до 300 чел &lt;*&gt;</w:t>
            </w:r>
          </w:p>
        </w:tc>
        <w:tc>
          <w:tcPr>
            <w:tcW w:w="1526" w:type="dxa"/>
          </w:tcPr>
          <w:p w:rsidR="00551C59" w:rsidRPr="00A84CCD" w:rsidRDefault="00551C59">
            <w:pPr>
              <w:pStyle w:val="ConsPlusNormal"/>
            </w:pPr>
            <w:r w:rsidRPr="00A84CCD">
              <w:t>от 301 до 500 чел &lt;*&gt;</w:t>
            </w:r>
          </w:p>
        </w:tc>
        <w:tc>
          <w:tcPr>
            <w:tcW w:w="1356" w:type="dxa"/>
          </w:tcPr>
          <w:p w:rsidR="00551C59" w:rsidRPr="00A84CCD" w:rsidRDefault="00551C59">
            <w:pPr>
              <w:pStyle w:val="ConsPlusNormal"/>
            </w:pPr>
            <w:r w:rsidRPr="00A84CCD">
              <w:t>свыше 500 чел &lt;*&gt;</w:t>
            </w:r>
          </w:p>
        </w:tc>
        <w:tc>
          <w:tcPr>
            <w:tcW w:w="1650" w:type="dxa"/>
            <w:vMerge/>
          </w:tcPr>
          <w:p w:rsidR="00551C59" w:rsidRPr="00A84CCD" w:rsidRDefault="00551C59"/>
        </w:tc>
      </w:tr>
      <w:tr w:rsidR="00A84CCD" w:rsidRPr="00A84CCD">
        <w:tc>
          <w:tcPr>
            <w:tcW w:w="5940" w:type="dxa"/>
          </w:tcPr>
          <w:p w:rsidR="00551C59" w:rsidRPr="00A84CCD" w:rsidRDefault="00551C59">
            <w:pPr>
              <w:pStyle w:val="ConsPlusNormal"/>
              <w:jc w:val="center"/>
            </w:pPr>
            <w:r w:rsidRPr="00A84CCD">
              <w:t>1</w:t>
            </w:r>
          </w:p>
        </w:tc>
        <w:tc>
          <w:tcPr>
            <w:tcW w:w="2031" w:type="dxa"/>
          </w:tcPr>
          <w:p w:rsidR="00551C59" w:rsidRPr="00A84CCD" w:rsidRDefault="00551C59">
            <w:pPr>
              <w:pStyle w:val="ConsPlusNormal"/>
              <w:jc w:val="center"/>
            </w:pPr>
            <w:r w:rsidRPr="00A84CCD">
              <w:t>2</w:t>
            </w:r>
          </w:p>
        </w:tc>
        <w:tc>
          <w:tcPr>
            <w:tcW w:w="1469" w:type="dxa"/>
          </w:tcPr>
          <w:p w:rsidR="00551C59" w:rsidRPr="00A84CCD" w:rsidRDefault="00551C59">
            <w:pPr>
              <w:pStyle w:val="ConsPlusNormal"/>
              <w:jc w:val="center"/>
            </w:pPr>
            <w:r w:rsidRPr="00A84CCD">
              <w:t>3</w:t>
            </w:r>
          </w:p>
        </w:tc>
        <w:tc>
          <w:tcPr>
            <w:tcW w:w="1526" w:type="dxa"/>
          </w:tcPr>
          <w:p w:rsidR="00551C59" w:rsidRPr="00A84CCD" w:rsidRDefault="00551C59">
            <w:pPr>
              <w:pStyle w:val="ConsPlusNormal"/>
              <w:jc w:val="center"/>
            </w:pPr>
            <w:r w:rsidRPr="00A84CCD">
              <w:t>4</w:t>
            </w:r>
          </w:p>
        </w:tc>
        <w:tc>
          <w:tcPr>
            <w:tcW w:w="1356" w:type="dxa"/>
          </w:tcPr>
          <w:p w:rsidR="00551C59" w:rsidRPr="00A84CCD" w:rsidRDefault="00551C59">
            <w:pPr>
              <w:pStyle w:val="ConsPlusNormal"/>
              <w:jc w:val="center"/>
            </w:pPr>
            <w:r w:rsidRPr="00A84CCD">
              <w:t>5</w:t>
            </w:r>
          </w:p>
        </w:tc>
        <w:tc>
          <w:tcPr>
            <w:tcW w:w="1650" w:type="dxa"/>
          </w:tcPr>
          <w:p w:rsidR="00551C59" w:rsidRPr="00A84CCD" w:rsidRDefault="00551C59">
            <w:pPr>
              <w:pStyle w:val="ConsPlusNormal"/>
              <w:jc w:val="center"/>
            </w:pPr>
            <w:r w:rsidRPr="00A84CCD">
              <w:t>6</w:t>
            </w:r>
          </w:p>
        </w:tc>
      </w:tr>
      <w:tr w:rsidR="00A84CCD" w:rsidRPr="00A84CCD">
        <w:tc>
          <w:tcPr>
            <w:tcW w:w="13972" w:type="dxa"/>
            <w:gridSpan w:val="6"/>
          </w:tcPr>
          <w:p w:rsidR="00551C59" w:rsidRPr="00A84CCD" w:rsidRDefault="00551C59">
            <w:pPr>
              <w:pStyle w:val="ConsPlusNormal"/>
              <w:outlineLvl w:val="1"/>
            </w:pPr>
            <w:r w:rsidRPr="00A84CCD">
              <w:t>I. Розничная торговля, осуществляемая через магазины и павильоны, имеющие торговые залы</w:t>
            </w:r>
          </w:p>
        </w:tc>
      </w:tr>
      <w:tr w:rsidR="00A84CCD" w:rsidRPr="00A84CCD">
        <w:tc>
          <w:tcPr>
            <w:tcW w:w="13972" w:type="dxa"/>
            <w:gridSpan w:val="6"/>
          </w:tcPr>
          <w:p w:rsidR="00551C59" w:rsidRPr="00A84CCD" w:rsidRDefault="00551C59">
            <w:pPr>
              <w:pStyle w:val="ConsPlusNormal"/>
            </w:pPr>
            <w:r w:rsidRPr="00A84CCD">
              <w:t>1. Торговля продовольственными и непродовольственными товарами и товарами смешанного ассортимента:</w:t>
            </w:r>
          </w:p>
        </w:tc>
      </w:tr>
      <w:tr w:rsidR="00A84CCD" w:rsidRPr="00A84CCD">
        <w:tc>
          <w:tcPr>
            <w:tcW w:w="5940" w:type="dxa"/>
          </w:tcPr>
          <w:p w:rsidR="00551C59" w:rsidRPr="00A84CCD" w:rsidRDefault="00551C59">
            <w:pPr>
              <w:pStyle w:val="ConsPlusNormal"/>
            </w:pPr>
            <w:r w:rsidRPr="00A84CCD">
              <w:t>независимо от времени работы</w:t>
            </w:r>
          </w:p>
        </w:tc>
        <w:tc>
          <w:tcPr>
            <w:tcW w:w="2031" w:type="dxa"/>
          </w:tcPr>
          <w:p w:rsidR="00551C59" w:rsidRPr="00A84CCD" w:rsidRDefault="00551C59">
            <w:pPr>
              <w:pStyle w:val="ConsPlusNormal"/>
              <w:jc w:val="center"/>
            </w:pPr>
            <w:r w:rsidRPr="00A84CCD">
              <w:t>0.015</w:t>
            </w:r>
          </w:p>
        </w:tc>
        <w:tc>
          <w:tcPr>
            <w:tcW w:w="1469" w:type="dxa"/>
          </w:tcPr>
          <w:p w:rsidR="00551C59" w:rsidRPr="00A84CCD" w:rsidRDefault="00551C59">
            <w:pPr>
              <w:pStyle w:val="ConsPlusNormal"/>
              <w:jc w:val="center"/>
            </w:pPr>
            <w:r w:rsidRPr="00A84CCD">
              <w:t>0.025</w:t>
            </w:r>
          </w:p>
        </w:tc>
        <w:tc>
          <w:tcPr>
            <w:tcW w:w="1526" w:type="dxa"/>
          </w:tcPr>
          <w:p w:rsidR="00551C59" w:rsidRPr="00A84CCD" w:rsidRDefault="00551C59">
            <w:pPr>
              <w:pStyle w:val="ConsPlusNormal"/>
              <w:jc w:val="center"/>
            </w:pPr>
            <w:r w:rsidRPr="00A84CCD">
              <w:t>0.3</w:t>
            </w:r>
          </w:p>
        </w:tc>
        <w:tc>
          <w:tcPr>
            <w:tcW w:w="1356" w:type="dxa"/>
          </w:tcPr>
          <w:p w:rsidR="00551C59" w:rsidRPr="00A84CCD" w:rsidRDefault="00551C59">
            <w:pPr>
              <w:pStyle w:val="ConsPlusNormal"/>
              <w:jc w:val="center"/>
            </w:pPr>
            <w:r w:rsidRPr="00A84CCD">
              <w:t>0.35</w:t>
            </w:r>
          </w:p>
        </w:tc>
        <w:tc>
          <w:tcPr>
            <w:tcW w:w="1650" w:type="dxa"/>
          </w:tcPr>
          <w:p w:rsidR="00551C59" w:rsidRPr="00A84CCD" w:rsidRDefault="00551C59">
            <w:pPr>
              <w:pStyle w:val="ConsPlusNormal"/>
              <w:jc w:val="center"/>
            </w:pPr>
            <w:r w:rsidRPr="00A84CCD">
              <w:t>0.4</w:t>
            </w:r>
          </w:p>
        </w:tc>
      </w:tr>
      <w:tr w:rsidR="00A84CCD" w:rsidRPr="00A84CCD">
        <w:tc>
          <w:tcPr>
            <w:tcW w:w="13972" w:type="dxa"/>
            <w:gridSpan w:val="6"/>
          </w:tcPr>
          <w:p w:rsidR="00551C59" w:rsidRPr="00A84CCD" w:rsidRDefault="00551C59">
            <w:pPr>
              <w:pStyle w:val="ConsPlusNormal"/>
              <w:outlineLvl w:val="1"/>
            </w:pPr>
            <w:r w:rsidRPr="00A84CCD">
              <w:t>II. 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r>
      <w:tr w:rsidR="00551C59" w:rsidRPr="00A84CCD">
        <w:tc>
          <w:tcPr>
            <w:tcW w:w="5940" w:type="dxa"/>
          </w:tcPr>
          <w:p w:rsidR="00551C59" w:rsidRPr="00A84CCD" w:rsidRDefault="00551C59">
            <w:pPr>
              <w:pStyle w:val="ConsPlusNormal"/>
            </w:pPr>
            <w:r w:rsidRPr="00A84CCD">
              <w:t>независимо от времени работы</w:t>
            </w:r>
          </w:p>
        </w:tc>
        <w:tc>
          <w:tcPr>
            <w:tcW w:w="2031" w:type="dxa"/>
          </w:tcPr>
          <w:p w:rsidR="00551C59" w:rsidRPr="00A84CCD" w:rsidRDefault="00551C59">
            <w:pPr>
              <w:pStyle w:val="ConsPlusNormal"/>
              <w:jc w:val="center"/>
            </w:pPr>
            <w:r w:rsidRPr="00A84CCD">
              <w:t>0.3</w:t>
            </w:r>
          </w:p>
        </w:tc>
        <w:tc>
          <w:tcPr>
            <w:tcW w:w="1469" w:type="dxa"/>
          </w:tcPr>
          <w:p w:rsidR="00551C59" w:rsidRPr="00A84CCD" w:rsidRDefault="00551C59">
            <w:pPr>
              <w:pStyle w:val="ConsPlusNormal"/>
              <w:jc w:val="center"/>
            </w:pPr>
            <w:r w:rsidRPr="00A84CCD">
              <w:t>0.3</w:t>
            </w:r>
          </w:p>
        </w:tc>
        <w:tc>
          <w:tcPr>
            <w:tcW w:w="1526" w:type="dxa"/>
          </w:tcPr>
          <w:p w:rsidR="00551C59" w:rsidRPr="00A84CCD" w:rsidRDefault="00551C59">
            <w:pPr>
              <w:pStyle w:val="ConsPlusNormal"/>
              <w:jc w:val="center"/>
            </w:pPr>
            <w:r w:rsidRPr="00A84CCD">
              <w:t>0.3</w:t>
            </w:r>
          </w:p>
        </w:tc>
        <w:tc>
          <w:tcPr>
            <w:tcW w:w="1356" w:type="dxa"/>
          </w:tcPr>
          <w:p w:rsidR="00551C59" w:rsidRPr="00A84CCD" w:rsidRDefault="00551C59">
            <w:pPr>
              <w:pStyle w:val="ConsPlusNormal"/>
              <w:jc w:val="center"/>
            </w:pPr>
            <w:r w:rsidRPr="00A84CCD">
              <w:t>0.3</w:t>
            </w:r>
          </w:p>
        </w:tc>
        <w:tc>
          <w:tcPr>
            <w:tcW w:w="1650" w:type="dxa"/>
          </w:tcPr>
          <w:p w:rsidR="00551C59" w:rsidRPr="00A84CCD" w:rsidRDefault="00551C59">
            <w:pPr>
              <w:pStyle w:val="ConsPlusNormal"/>
              <w:jc w:val="center"/>
            </w:pPr>
            <w:r w:rsidRPr="00A84CCD">
              <w:t>0.3</w:t>
            </w:r>
          </w:p>
        </w:tc>
      </w:tr>
    </w:tbl>
    <w:p w:rsidR="00551C59" w:rsidRPr="00A84CCD" w:rsidRDefault="00551C59">
      <w:pPr>
        <w:pStyle w:val="ConsPlusNormal"/>
      </w:pPr>
    </w:p>
    <w:p w:rsidR="00551C59" w:rsidRPr="00A84CCD" w:rsidRDefault="00551C59">
      <w:pPr>
        <w:pStyle w:val="ConsPlusNormal"/>
        <w:ind w:firstLine="540"/>
        <w:jc w:val="both"/>
      </w:pPr>
      <w:r w:rsidRPr="00A84CCD">
        <w:t>Для налогоплательщиков единого налога на вмененный доход, осуществляющих деятельность без привлечения наемных работников, при исчислении единого налога на вмененный доход применяется:</w:t>
      </w:r>
    </w:p>
    <w:p w:rsidR="00551C59" w:rsidRPr="00A84CCD" w:rsidRDefault="00551C5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2031"/>
        <w:gridCol w:w="1469"/>
        <w:gridCol w:w="1526"/>
        <w:gridCol w:w="1356"/>
        <w:gridCol w:w="1650"/>
      </w:tblGrid>
      <w:tr w:rsidR="00A84CCD" w:rsidRPr="00A84CCD">
        <w:tc>
          <w:tcPr>
            <w:tcW w:w="5940" w:type="dxa"/>
            <w:vMerge w:val="restart"/>
          </w:tcPr>
          <w:p w:rsidR="00551C59" w:rsidRPr="00A84CCD" w:rsidRDefault="00551C59">
            <w:pPr>
              <w:pStyle w:val="ConsPlusNormal"/>
              <w:jc w:val="center"/>
            </w:pPr>
            <w:r w:rsidRPr="00A84CCD">
              <w:t>Вид предпринимательской деятельности</w:t>
            </w:r>
          </w:p>
        </w:tc>
        <w:tc>
          <w:tcPr>
            <w:tcW w:w="8032" w:type="dxa"/>
            <w:gridSpan w:val="5"/>
          </w:tcPr>
          <w:p w:rsidR="00551C59" w:rsidRPr="00A84CCD" w:rsidRDefault="00551C59">
            <w:pPr>
              <w:pStyle w:val="ConsPlusNormal"/>
              <w:jc w:val="center"/>
            </w:pPr>
            <w:r w:rsidRPr="00A84CCD">
              <w:t>Значение коэффициента К</w:t>
            </w:r>
            <w:proofErr w:type="gramStart"/>
            <w:r w:rsidRPr="00A84CCD">
              <w:t>2</w:t>
            </w:r>
            <w:proofErr w:type="gramEnd"/>
          </w:p>
        </w:tc>
      </w:tr>
      <w:tr w:rsidR="00A84CCD" w:rsidRPr="00A84CCD">
        <w:tc>
          <w:tcPr>
            <w:tcW w:w="5940" w:type="dxa"/>
            <w:vMerge/>
          </w:tcPr>
          <w:p w:rsidR="00551C59" w:rsidRPr="00A84CCD" w:rsidRDefault="00551C59"/>
        </w:tc>
        <w:tc>
          <w:tcPr>
            <w:tcW w:w="6382" w:type="dxa"/>
            <w:gridSpan w:val="4"/>
          </w:tcPr>
          <w:p w:rsidR="00551C59" w:rsidRPr="00A84CCD" w:rsidRDefault="00551C59">
            <w:pPr>
              <w:pStyle w:val="ConsPlusNormal"/>
              <w:jc w:val="center"/>
            </w:pPr>
            <w:r w:rsidRPr="00A84CCD">
              <w:t>в населенных пунктах с численностью</w:t>
            </w:r>
          </w:p>
        </w:tc>
        <w:tc>
          <w:tcPr>
            <w:tcW w:w="1650" w:type="dxa"/>
            <w:vMerge w:val="restart"/>
          </w:tcPr>
          <w:p w:rsidR="00551C59" w:rsidRPr="00A84CCD" w:rsidRDefault="00551C59">
            <w:pPr>
              <w:pStyle w:val="ConsPlusNormal"/>
            </w:pPr>
            <w:r w:rsidRPr="00A84CCD">
              <w:t>в районном центре</w:t>
            </w:r>
          </w:p>
        </w:tc>
      </w:tr>
      <w:tr w:rsidR="00A84CCD" w:rsidRPr="00A84CCD">
        <w:tc>
          <w:tcPr>
            <w:tcW w:w="5940" w:type="dxa"/>
            <w:vMerge/>
          </w:tcPr>
          <w:p w:rsidR="00551C59" w:rsidRPr="00A84CCD" w:rsidRDefault="00551C59"/>
        </w:tc>
        <w:tc>
          <w:tcPr>
            <w:tcW w:w="2031" w:type="dxa"/>
          </w:tcPr>
          <w:p w:rsidR="00551C59" w:rsidRPr="00A84CCD" w:rsidRDefault="00551C59">
            <w:pPr>
              <w:pStyle w:val="ConsPlusNormal"/>
              <w:jc w:val="center"/>
            </w:pPr>
            <w:r w:rsidRPr="00A84CCD">
              <w:t>до 100 чел.</w:t>
            </w:r>
          </w:p>
        </w:tc>
        <w:tc>
          <w:tcPr>
            <w:tcW w:w="1469" w:type="dxa"/>
          </w:tcPr>
          <w:p w:rsidR="00551C59" w:rsidRPr="00A84CCD" w:rsidRDefault="00551C59">
            <w:pPr>
              <w:pStyle w:val="ConsPlusNormal"/>
            </w:pPr>
            <w:r w:rsidRPr="00A84CCD">
              <w:t>от 101 до 300 чел</w:t>
            </w:r>
          </w:p>
        </w:tc>
        <w:tc>
          <w:tcPr>
            <w:tcW w:w="1526" w:type="dxa"/>
          </w:tcPr>
          <w:p w:rsidR="00551C59" w:rsidRPr="00A84CCD" w:rsidRDefault="00551C59">
            <w:pPr>
              <w:pStyle w:val="ConsPlusNormal"/>
            </w:pPr>
            <w:r w:rsidRPr="00A84CCD">
              <w:t>от 301 до 500 чел</w:t>
            </w:r>
          </w:p>
        </w:tc>
        <w:tc>
          <w:tcPr>
            <w:tcW w:w="1356" w:type="dxa"/>
          </w:tcPr>
          <w:p w:rsidR="00551C59" w:rsidRPr="00A84CCD" w:rsidRDefault="00551C59">
            <w:pPr>
              <w:pStyle w:val="ConsPlusNormal"/>
            </w:pPr>
            <w:r w:rsidRPr="00A84CCD">
              <w:t>свыше 500 чел</w:t>
            </w:r>
          </w:p>
        </w:tc>
        <w:tc>
          <w:tcPr>
            <w:tcW w:w="1650" w:type="dxa"/>
            <w:vMerge/>
          </w:tcPr>
          <w:p w:rsidR="00551C59" w:rsidRPr="00A84CCD" w:rsidRDefault="00551C59"/>
        </w:tc>
      </w:tr>
      <w:tr w:rsidR="00A84CCD" w:rsidRPr="00A84CCD">
        <w:tc>
          <w:tcPr>
            <w:tcW w:w="5940" w:type="dxa"/>
          </w:tcPr>
          <w:p w:rsidR="00551C59" w:rsidRPr="00A84CCD" w:rsidRDefault="00551C59">
            <w:pPr>
              <w:pStyle w:val="ConsPlusNormal"/>
              <w:jc w:val="center"/>
            </w:pPr>
            <w:r w:rsidRPr="00A84CCD">
              <w:t>1</w:t>
            </w:r>
          </w:p>
        </w:tc>
        <w:tc>
          <w:tcPr>
            <w:tcW w:w="2031" w:type="dxa"/>
          </w:tcPr>
          <w:p w:rsidR="00551C59" w:rsidRPr="00A84CCD" w:rsidRDefault="00551C59">
            <w:pPr>
              <w:pStyle w:val="ConsPlusNormal"/>
              <w:jc w:val="center"/>
            </w:pPr>
            <w:r w:rsidRPr="00A84CCD">
              <w:t>2</w:t>
            </w:r>
          </w:p>
        </w:tc>
        <w:tc>
          <w:tcPr>
            <w:tcW w:w="1469" w:type="dxa"/>
          </w:tcPr>
          <w:p w:rsidR="00551C59" w:rsidRPr="00A84CCD" w:rsidRDefault="00551C59">
            <w:pPr>
              <w:pStyle w:val="ConsPlusNormal"/>
              <w:jc w:val="center"/>
            </w:pPr>
            <w:r w:rsidRPr="00A84CCD">
              <w:t>3</w:t>
            </w:r>
          </w:p>
        </w:tc>
        <w:tc>
          <w:tcPr>
            <w:tcW w:w="1526" w:type="dxa"/>
          </w:tcPr>
          <w:p w:rsidR="00551C59" w:rsidRPr="00A84CCD" w:rsidRDefault="00551C59">
            <w:pPr>
              <w:pStyle w:val="ConsPlusNormal"/>
              <w:jc w:val="center"/>
            </w:pPr>
            <w:r w:rsidRPr="00A84CCD">
              <w:t>4</w:t>
            </w:r>
          </w:p>
        </w:tc>
        <w:tc>
          <w:tcPr>
            <w:tcW w:w="1356" w:type="dxa"/>
          </w:tcPr>
          <w:p w:rsidR="00551C59" w:rsidRPr="00A84CCD" w:rsidRDefault="00551C59">
            <w:pPr>
              <w:pStyle w:val="ConsPlusNormal"/>
              <w:jc w:val="center"/>
            </w:pPr>
            <w:r w:rsidRPr="00A84CCD">
              <w:t>5</w:t>
            </w:r>
          </w:p>
        </w:tc>
        <w:tc>
          <w:tcPr>
            <w:tcW w:w="1650" w:type="dxa"/>
          </w:tcPr>
          <w:p w:rsidR="00551C59" w:rsidRPr="00A84CCD" w:rsidRDefault="00551C59">
            <w:pPr>
              <w:pStyle w:val="ConsPlusNormal"/>
              <w:jc w:val="center"/>
            </w:pPr>
            <w:r w:rsidRPr="00A84CCD">
              <w:t>6</w:t>
            </w:r>
          </w:p>
        </w:tc>
      </w:tr>
      <w:tr w:rsidR="00A84CCD" w:rsidRPr="00A84CCD">
        <w:tc>
          <w:tcPr>
            <w:tcW w:w="13972" w:type="dxa"/>
            <w:gridSpan w:val="6"/>
          </w:tcPr>
          <w:p w:rsidR="00551C59" w:rsidRPr="00A84CCD" w:rsidRDefault="00551C59">
            <w:pPr>
              <w:pStyle w:val="ConsPlusNormal"/>
            </w:pPr>
            <w:r w:rsidRPr="00A84CCD">
              <w:t>I. Розничная торговля, осуществляемая через магазины и павильоны, имеющие торговые залы</w:t>
            </w:r>
          </w:p>
        </w:tc>
      </w:tr>
      <w:tr w:rsidR="00A84CCD" w:rsidRPr="00A84CCD">
        <w:tc>
          <w:tcPr>
            <w:tcW w:w="13972" w:type="dxa"/>
            <w:gridSpan w:val="6"/>
          </w:tcPr>
          <w:p w:rsidR="00551C59" w:rsidRPr="00A84CCD" w:rsidRDefault="00551C59">
            <w:pPr>
              <w:pStyle w:val="ConsPlusNormal"/>
            </w:pPr>
            <w:r w:rsidRPr="00A84CCD">
              <w:t>Торговля продовольственными товарами и непродовольственными товарами, товарами смешанного ассортимента:</w:t>
            </w:r>
          </w:p>
        </w:tc>
      </w:tr>
      <w:tr w:rsidR="00A84CCD" w:rsidRPr="00A84CCD">
        <w:tc>
          <w:tcPr>
            <w:tcW w:w="5940" w:type="dxa"/>
          </w:tcPr>
          <w:p w:rsidR="00551C59" w:rsidRPr="00A84CCD" w:rsidRDefault="00551C59">
            <w:pPr>
              <w:pStyle w:val="ConsPlusNormal"/>
            </w:pPr>
            <w:r w:rsidRPr="00A84CCD">
              <w:lastRenderedPageBreak/>
              <w:t>независимо от времени работы</w:t>
            </w:r>
          </w:p>
        </w:tc>
        <w:tc>
          <w:tcPr>
            <w:tcW w:w="2031" w:type="dxa"/>
          </w:tcPr>
          <w:p w:rsidR="00551C59" w:rsidRPr="00A84CCD" w:rsidRDefault="00551C59">
            <w:pPr>
              <w:pStyle w:val="ConsPlusNormal"/>
              <w:jc w:val="center"/>
            </w:pPr>
            <w:r w:rsidRPr="00A84CCD">
              <w:t>0.15</w:t>
            </w:r>
          </w:p>
        </w:tc>
        <w:tc>
          <w:tcPr>
            <w:tcW w:w="1469" w:type="dxa"/>
          </w:tcPr>
          <w:p w:rsidR="00551C59" w:rsidRPr="00A84CCD" w:rsidRDefault="00551C59">
            <w:pPr>
              <w:pStyle w:val="ConsPlusNormal"/>
              <w:jc w:val="center"/>
            </w:pPr>
            <w:r w:rsidRPr="00A84CCD">
              <w:t>0.25</w:t>
            </w:r>
          </w:p>
        </w:tc>
        <w:tc>
          <w:tcPr>
            <w:tcW w:w="1526" w:type="dxa"/>
          </w:tcPr>
          <w:p w:rsidR="00551C59" w:rsidRPr="00A84CCD" w:rsidRDefault="00551C59">
            <w:pPr>
              <w:pStyle w:val="ConsPlusNormal"/>
              <w:jc w:val="center"/>
            </w:pPr>
            <w:r w:rsidRPr="00A84CCD">
              <w:t>0.4</w:t>
            </w:r>
          </w:p>
        </w:tc>
        <w:tc>
          <w:tcPr>
            <w:tcW w:w="1356" w:type="dxa"/>
          </w:tcPr>
          <w:p w:rsidR="00551C59" w:rsidRPr="00A84CCD" w:rsidRDefault="00551C59">
            <w:pPr>
              <w:pStyle w:val="ConsPlusNormal"/>
              <w:jc w:val="center"/>
            </w:pPr>
            <w:r w:rsidRPr="00A84CCD">
              <w:t>0.55</w:t>
            </w:r>
          </w:p>
        </w:tc>
        <w:tc>
          <w:tcPr>
            <w:tcW w:w="1650" w:type="dxa"/>
          </w:tcPr>
          <w:p w:rsidR="00551C59" w:rsidRPr="00A84CCD" w:rsidRDefault="00551C59">
            <w:pPr>
              <w:pStyle w:val="ConsPlusNormal"/>
              <w:jc w:val="center"/>
            </w:pPr>
            <w:r w:rsidRPr="00A84CCD">
              <w:t>0.65</w:t>
            </w:r>
          </w:p>
        </w:tc>
      </w:tr>
      <w:tr w:rsidR="00A84CCD" w:rsidRPr="00A84CCD">
        <w:tc>
          <w:tcPr>
            <w:tcW w:w="13972" w:type="dxa"/>
            <w:gridSpan w:val="6"/>
          </w:tcPr>
          <w:p w:rsidR="00551C59" w:rsidRPr="00A84CCD" w:rsidRDefault="00551C59">
            <w:pPr>
              <w:pStyle w:val="ConsPlusNormal"/>
            </w:pPr>
            <w:r w:rsidRPr="00A84CCD">
              <w:t>II.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 м по каждому объекту организации общественного питания</w:t>
            </w:r>
          </w:p>
        </w:tc>
      </w:tr>
      <w:tr w:rsidR="00A84CCD" w:rsidRPr="00A84CCD">
        <w:tc>
          <w:tcPr>
            <w:tcW w:w="5940" w:type="dxa"/>
          </w:tcPr>
          <w:p w:rsidR="00551C59" w:rsidRPr="00A84CCD" w:rsidRDefault="00551C59">
            <w:pPr>
              <w:pStyle w:val="ConsPlusNormal"/>
            </w:pPr>
            <w:r w:rsidRPr="00A84CCD">
              <w:t>независимо от времени работы</w:t>
            </w:r>
          </w:p>
        </w:tc>
        <w:tc>
          <w:tcPr>
            <w:tcW w:w="8032" w:type="dxa"/>
            <w:gridSpan w:val="5"/>
          </w:tcPr>
          <w:p w:rsidR="00551C59" w:rsidRPr="00A84CCD" w:rsidRDefault="00551C59">
            <w:pPr>
              <w:pStyle w:val="ConsPlusNormal"/>
              <w:jc w:val="center"/>
            </w:pPr>
            <w:r w:rsidRPr="00A84CCD">
              <w:t>0.5</w:t>
            </w:r>
          </w:p>
        </w:tc>
      </w:tr>
    </w:tbl>
    <w:p w:rsidR="00551C59" w:rsidRPr="00A84CCD" w:rsidRDefault="00551C59">
      <w:pPr>
        <w:sectPr w:rsidR="00551C59" w:rsidRPr="00A84CCD">
          <w:pgSz w:w="16838" w:h="11905" w:orient="landscape"/>
          <w:pgMar w:top="1701" w:right="1134" w:bottom="850" w:left="1134" w:header="0" w:footer="0" w:gutter="0"/>
          <w:cols w:space="720"/>
        </w:sectPr>
      </w:pPr>
    </w:p>
    <w:p w:rsidR="00551C59" w:rsidRPr="00A84CCD" w:rsidRDefault="00551C59">
      <w:pPr>
        <w:pStyle w:val="ConsPlusNormal"/>
      </w:pPr>
    </w:p>
    <w:p w:rsidR="00551C59" w:rsidRPr="00A84CCD" w:rsidRDefault="00551C59">
      <w:pPr>
        <w:pStyle w:val="ConsPlusNormal"/>
        <w:ind w:firstLine="540"/>
        <w:jc w:val="both"/>
      </w:pPr>
      <w:r w:rsidRPr="00A84CCD">
        <w:t>--------------------------------</w:t>
      </w:r>
    </w:p>
    <w:p w:rsidR="00551C59" w:rsidRPr="00A84CCD" w:rsidRDefault="00551C59">
      <w:pPr>
        <w:pStyle w:val="ConsPlusNormal"/>
        <w:spacing w:before="220"/>
        <w:ind w:firstLine="540"/>
        <w:jc w:val="both"/>
      </w:pPr>
      <w:r w:rsidRPr="00A84CCD">
        <w:t>&lt;*&gt; Численность населения населенных пунктов района определяется в соответствии с данными Вологодского областного комитета Государственной статистики по состоянию на 1 января текущего года.</w:t>
      </w:r>
    </w:p>
    <w:p w:rsidR="00551C59" w:rsidRPr="00A84CCD" w:rsidRDefault="00551C59">
      <w:pPr>
        <w:pStyle w:val="ConsPlusNormal"/>
      </w:pPr>
    </w:p>
    <w:p w:rsidR="00551C59" w:rsidRPr="00A84CCD" w:rsidRDefault="00551C59">
      <w:pPr>
        <w:pStyle w:val="ConsPlusNormal"/>
        <w:ind w:firstLine="540"/>
        <w:jc w:val="both"/>
      </w:pPr>
      <w:r w:rsidRPr="00A84CCD">
        <w:t>Показатель, учитывающий величину доходов в зависимости от уровня выплачиваемой заработной платы на одного работника среднесписочной численности (рублей) в месяц по всем видам предпринимательской деятельности:</w:t>
      </w:r>
    </w:p>
    <w:p w:rsidR="00551C59" w:rsidRPr="00A84CCD" w:rsidRDefault="00551C59">
      <w:pPr>
        <w:pStyle w:val="ConsPlusNormal"/>
        <w:spacing w:before="220"/>
        <w:ind w:firstLine="540"/>
        <w:jc w:val="both"/>
      </w:pPr>
      <w:r w:rsidRPr="00A84CCD">
        <w:t>- ниже 13000 руб. "2.0";</w:t>
      </w:r>
    </w:p>
    <w:p w:rsidR="00551C59" w:rsidRPr="00A84CCD" w:rsidRDefault="00551C59">
      <w:pPr>
        <w:pStyle w:val="ConsPlusNormal"/>
        <w:spacing w:before="220"/>
        <w:ind w:firstLine="540"/>
        <w:jc w:val="both"/>
      </w:pPr>
      <w:r w:rsidRPr="00A84CCD">
        <w:t>- с 13000 руб. до 14500 руб. "1.5";</w:t>
      </w:r>
    </w:p>
    <w:p w:rsidR="00551C59" w:rsidRPr="00A84CCD" w:rsidRDefault="00551C59">
      <w:pPr>
        <w:pStyle w:val="ConsPlusNormal"/>
        <w:spacing w:before="220"/>
        <w:ind w:firstLine="540"/>
        <w:jc w:val="both"/>
      </w:pPr>
      <w:r w:rsidRPr="00A84CCD">
        <w:t>- с 14500 руб. и выше "1".</w:t>
      </w:r>
    </w:p>
    <w:p w:rsidR="00551C59" w:rsidRPr="00A84CCD" w:rsidRDefault="00551C59">
      <w:pPr>
        <w:pStyle w:val="ConsPlusNormal"/>
        <w:spacing w:before="220"/>
        <w:ind w:firstLine="540"/>
        <w:jc w:val="both"/>
      </w:pPr>
      <w:r w:rsidRPr="00A84CCD">
        <w:t>Корректирующий коэффициент К</w:t>
      </w:r>
      <w:proofErr w:type="gramStart"/>
      <w:r w:rsidRPr="00A84CCD">
        <w:t>2</w:t>
      </w:r>
      <w:proofErr w:type="gramEnd"/>
      <w:r w:rsidRPr="00A84CCD">
        <w:t xml:space="preserve"> для услуг розничной торговли рассчитывается путем умножения двух коэффициентов, учитывающих численность населения и величину среднемесячной заработной платы на одного работника среднесписочной численности.</w:t>
      </w:r>
    </w:p>
    <w:p w:rsidR="00551C59" w:rsidRPr="00A84CCD" w:rsidRDefault="00551C59">
      <w:pPr>
        <w:pStyle w:val="ConsPlusNormal"/>
        <w:spacing w:before="220"/>
        <w:ind w:firstLine="540"/>
        <w:jc w:val="both"/>
      </w:pPr>
      <w:r w:rsidRPr="00A84CCD">
        <w:t>Для налогоплательщиков, не имеющих наемных работников, значение показателя в зависимости от уровня заработной платы работников не применяется.</w:t>
      </w:r>
    </w:p>
    <w:p w:rsidR="00551C59" w:rsidRPr="00A84CCD" w:rsidRDefault="00551C59">
      <w:pPr>
        <w:pStyle w:val="ConsPlusNormal"/>
        <w:spacing w:before="220"/>
        <w:ind w:firstLine="540"/>
        <w:jc w:val="both"/>
      </w:pPr>
      <w:r w:rsidRPr="00A84CCD">
        <w:t>Итоговое значение корректирующего коэффициента базовой доходности К</w:t>
      </w:r>
      <w:proofErr w:type="gramStart"/>
      <w:r w:rsidRPr="00A84CCD">
        <w:t>2</w:t>
      </w:r>
      <w:proofErr w:type="gramEnd"/>
      <w:r w:rsidRPr="00A84CCD">
        <w:t xml:space="preserve"> не может быть более 1.0. В случае если при перемножении (произведении) показателей, определяющих значение корректирующего коэффициента К</w:t>
      </w:r>
      <w:proofErr w:type="gramStart"/>
      <w:r w:rsidRPr="00A84CCD">
        <w:t>2</w:t>
      </w:r>
      <w:proofErr w:type="gramEnd"/>
      <w:r w:rsidRPr="00A84CCD">
        <w:t>, значения данного коэффициента составит более 1.0, для исчисления единого налога на вмененный доход налогоплательщиком применяется значение корректирующего коэффициента равное 1.0.</w:t>
      </w:r>
    </w:p>
    <w:p w:rsidR="00551C59" w:rsidRPr="00A84CCD" w:rsidRDefault="00551C59">
      <w:pPr>
        <w:pStyle w:val="ConsPlusNormal"/>
        <w:spacing w:before="220"/>
        <w:ind w:firstLine="540"/>
        <w:jc w:val="both"/>
      </w:pPr>
      <w:r w:rsidRPr="00A84CCD">
        <w:t>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w:t>
      </w:r>
    </w:p>
    <w:p w:rsidR="00551C59" w:rsidRPr="00A84CCD" w:rsidRDefault="00551C59">
      <w:pPr>
        <w:pStyle w:val="ConsPlusNormal"/>
        <w:spacing w:before="220"/>
        <w:ind w:firstLine="540"/>
        <w:jc w:val="both"/>
      </w:pPr>
      <w:r w:rsidRPr="00A84CCD">
        <w:t>Величина среднемесячной заработной платы на одного работника, применяемая при расчете коэффициента базовой доходности К</w:t>
      </w:r>
      <w:proofErr w:type="gramStart"/>
      <w:r w:rsidRPr="00A84CCD">
        <w:t>2</w:t>
      </w:r>
      <w:proofErr w:type="gramEnd"/>
      <w:r w:rsidRPr="00A84CCD">
        <w:t>, подтверждается расчетом по авансовым платежам по страховым взносам на обязательное страхование для лиц, производящих выплаты физическим лицам, за соответствующий налоговый период.</w:t>
      </w:r>
    </w:p>
    <w:p w:rsidR="00551C59" w:rsidRPr="00A84CCD" w:rsidRDefault="00551C59">
      <w:pPr>
        <w:pStyle w:val="ConsPlusNormal"/>
        <w:spacing w:before="220"/>
        <w:ind w:firstLine="540"/>
        <w:jc w:val="both"/>
      </w:pPr>
      <w:r w:rsidRPr="00A84CCD">
        <w:t>При отсутствии данных на выплату работникам заработной платы (доходов) применяется К</w:t>
      </w:r>
      <w:proofErr w:type="gramStart"/>
      <w:r w:rsidRPr="00A84CCD">
        <w:t>2</w:t>
      </w:r>
      <w:proofErr w:type="gramEnd"/>
      <w:r w:rsidRPr="00A84CCD">
        <w:t xml:space="preserve"> равное 1.0.".</w:t>
      </w:r>
    </w:p>
    <w:p w:rsidR="00551C59" w:rsidRPr="00A84CCD" w:rsidRDefault="00551C59">
      <w:pPr>
        <w:pStyle w:val="ConsPlusNormal"/>
      </w:pPr>
    </w:p>
    <w:p w:rsidR="00551C59" w:rsidRPr="00A84CCD" w:rsidRDefault="00551C59">
      <w:pPr>
        <w:pStyle w:val="ConsPlusNormal"/>
      </w:pPr>
    </w:p>
    <w:p w:rsidR="00551C59" w:rsidRPr="00A84CCD" w:rsidRDefault="00551C59">
      <w:pPr>
        <w:pStyle w:val="ConsPlusNormal"/>
        <w:pBdr>
          <w:top w:val="single" w:sz="6" w:space="0" w:color="auto"/>
        </w:pBdr>
        <w:spacing w:before="100" w:after="100"/>
        <w:jc w:val="both"/>
        <w:rPr>
          <w:sz w:val="2"/>
          <w:szCs w:val="2"/>
        </w:rPr>
      </w:pPr>
    </w:p>
    <w:p w:rsidR="00F110F6" w:rsidRPr="00A84CCD" w:rsidRDefault="00A84CCD"/>
    <w:sectPr w:rsidR="00F110F6" w:rsidRPr="00A84CCD" w:rsidSect="0074279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59"/>
    <w:rsid w:val="00551C59"/>
    <w:rsid w:val="00711A2E"/>
    <w:rsid w:val="00A84CCD"/>
    <w:rsid w:val="00E3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1C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1C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1C5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1C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1C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1C5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618</Words>
  <Characters>3528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Admin</cp:lastModifiedBy>
  <cp:revision>2</cp:revision>
  <dcterms:created xsi:type="dcterms:W3CDTF">2019-08-27T12:39:00Z</dcterms:created>
  <dcterms:modified xsi:type="dcterms:W3CDTF">2019-08-27T12:39:00Z</dcterms:modified>
</cp:coreProperties>
</file>